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BE9C7" w14:textId="332E9CD4" w:rsidR="00DC7B3E" w:rsidRDefault="00DC7B3E" w:rsidP="009C03B8">
      <w:pPr>
        <w:jc w:val="center"/>
      </w:pPr>
      <w:r>
        <w:rPr>
          <w:noProof/>
        </w:rPr>
        <w:drawing>
          <wp:inline distT="0" distB="0" distL="0" distR="0" wp14:anchorId="2D79DAAD" wp14:editId="36C6F325">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63D42E5D" w14:textId="77777777" w:rsidR="00DC7B3E" w:rsidRPr="0086738E" w:rsidRDefault="00DC7B3E" w:rsidP="00DC7B3E">
      <w:pPr>
        <w:pStyle w:val="Heading1"/>
        <w:jc w:val="center"/>
        <w:rPr>
          <w:rFonts w:ascii="Cambria" w:hAnsi="Cambria"/>
          <w:b w:val="0"/>
          <w:bCs w:val="0"/>
          <w:color w:val="0070C0"/>
          <w:sz w:val="32"/>
          <w:szCs w:val="32"/>
        </w:rPr>
      </w:pPr>
      <w:r w:rsidRPr="0086738E">
        <w:rPr>
          <w:rFonts w:ascii="Cambria" w:hAnsi="Cambria"/>
          <w:b w:val="0"/>
          <w:bCs w:val="0"/>
          <w:color w:val="0070C0"/>
          <w:sz w:val="32"/>
          <w:szCs w:val="32"/>
        </w:rPr>
        <w:t>Asheville-Buncombe Technical Community College</w:t>
      </w:r>
    </w:p>
    <w:p w14:paraId="4A2C844E" w14:textId="7017A109" w:rsidR="00DC7B3E" w:rsidRDefault="00DC7B3E" w:rsidP="009C03B8">
      <w:pPr>
        <w:pStyle w:val="Heading1"/>
        <w:jc w:val="center"/>
        <w:rPr>
          <w:rFonts w:ascii="Cambria" w:hAnsi="Cambria"/>
          <w:b w:val="0"/>
          <w:bCs w:val="0"/>
          <w:color w:val="0070C0"/>
          <w:sz w:val="32"/>
          <w:szCs w:val="32"/>
        </w:rPr>
      </w:pPr>
      <w:r w:rsidRPr="0086738E">
        <w:rPr>
          <w:rFonts w:ascii="Cambria" w:hAnsi="Cambria"/>
          <w:b w:val="0"/>
          <w:bCs w:val="0"/>
          <w:color w:val="0070C0"/>
          <w:sz w:val="32"/>
          <w:szCs w:val="32"/>
        </w:rPr>
        <w:t>(A-B Tech) Procedure</w:t>
      </w:r>
    </w:p>
    <w:p w14:paraId="5589CD54" w14:textId="77777777" w:rsidR="006404F9" w:rsidRPr="0086738E" w:rsidRDefault="006404F9" w:rsidP="009C03B8">
      <w:pPr>
        <w:pStyle w:val="Heading1"/>
        <w:jc w:val="center"/>
        <w:rPr>
          <w:rFonts w:ascii="Cambria" w:hAnsi="Cambria"/>
          <w:b w:val="0"/>
          <w:bCs w:val="0"/>
          <w:color w:val="0070C0"/>
          <w:sz w:val="32"/>
          <w:szCs w:val="32"/>
        </w:rPr>
      </w:pPr>
    </w:p>
    <w:p w14:paraId="343047D6" w14:textId="118E1BBA" w:rsidR="00DC7B3E" w:rsidRPr="0086738E" w:rsidRDefault="00DC7B3E" w:rsidP="00DC7B3E">
      <w:pPr>
        <w:pStyle w:val="Heading2"/>
        <w:rPr>
          <w:rFonts w:asciiTheme="minorHAnsi" w:hAnsiTheme="minorHAnsi" w:cstheme="minorHAnsi"/>
          <w:b w:val="0"/>
          <w:bCs w:val="0"/>
          <w:color w:val="0070C0"/>
          <w:sz w:val="28"/>
          <w:szCs w:val="28"/>
        </w:rPr>
      </w:pPr>
      <w:r w:rsidRPr="0086738E">
        <w:rPr>
          <w:rFonts w:asciiTheme="minorHAnsi" w:hAnsiTheme="minorHAnsi" w:cstheme="minorHAnsi"/>
          <w:b w:val="0"/>
          <w:bCs w:val="0"/>
          <w:color w:val="0070C0"/>
          <w:sz w:val="28"/>
          <w:szCs w:val="28"/>
        </w:rPr>
        <w:t xml:space="preserve">Procedure </w:t>
      </w:r>
      <w:r w:rsidR="00DB02E9" w:rsidRPr="0086738E">
        <w:rPr>
          <w:rFonts w:asciiTheme="minorHAnsi" w:hAnsiTheme="minorHAnsi" w:cstheme="minorHAnsi"/>
          <w:b w:val="0"/>
          <w:bCs w:val="0"/>
          <w:color w:val="0070C0"/>
          <w:sz w:val="28"/>
          <w:szCs w:val="28"/>
        </w:rPr>
        <w:t>319.2</w:t>
      </w:r>
      <w:r w:rsidR="006C2B66">
        <w:rPr>
          <w:rFonts w:asciiTheme="minorHAnsi" w:hAnsiTheme="minorHAnsi" w:cstheme="minorHAnsi"/>
          <w:b w:val="0"/>
          <w:bCs w:val="0"/>
          <w:color w:val="0070C0"/>
          <w:sz w:val="28"/>
          <w:szCs w:val="28"/>
        </w:rPr>
        <w:t>0</w:t>
      </w:r>
      <w:r w:rsidRPr="0086738E">
        <w:rPr>
          <w:rFonts w:asciiTheme="minorHAnsi" w:hAnsiTheme="minorHAnsi" w:cstheme="minorHAnsi"/>
          <w:b w:val="0"/>
          <w:bCs w:val="0"/>
          <w:color w:val="0070C0"/>
          <w:sz w:val="28"/>
          <w:szCs w:val="28"/>
        </w:rPr>
        <w:t xml:space="preserve">:  </w:t>
      </w:r>
      <w:r w:rsidRPr="0086738E">
        <w:rPr>
          <w:rFonts w:asciiTheme="minorHAnsi" w:hAnsiTheme="minorHAnsi" w:cstheme="minorHAnsi"/>
          <w:b w:val="0"/>
          <w:bCs w:val="0"/>
          <w:color w:val="0070C0"/>
          <w:kern w:val="36"/>
          <w:sz w:val="28"/>
          <w:szCs w:val="28"/>
        </w:rPr>
        <w:t xml:space="preserve">Reporting Potential Fraud, Damage, </w:t>
      </w:r>
      <w:r w:rsidR="0086738E">
        <w:rPr>
          <w:rFonts w:asciiTheme="minorHAnsi" w:hAnsiTheme="minorHAnsi" w:cstheme="minorHAnsi"/>
          <w:b w:val="0"/>
          <w:bCs w:val="0"/>
          <w:color w:val="0070C0"/>
          <w:kern w:val="36"/>
          <w:sz w:val="28"/>
          <w:szCs w:val="28"/>
        </w:rPr>
        <w:t>o</w:t>
      </w:r>
      <w:r w:rsidRPr="0086738E">
        <w:rPr>
          <w:rFonts w:asciiTheme="minorHAnsi" w:hAnsiTheme="minorHAnsi" w:cstheme="minorHAnsi"/>
          <w:b w:val="0"/>
          <w:bCs w:val="0"/>
          <w:color w:val="0070C0"/>
          <w:kern w:val="36"/>
          <w:sz w:val="28"/>
          <w:szCs w:val="28"/>
        </w:rPr>
        <w:t>r Theft of College Property Procedures</w:t>
      </w:r>
    </w:p>
    <w:p w14:paraId="3898B29E" w14:textId="547080E7" w:rsidR="00DC7B3E" w:rsidRPr="00DC7B3E" w:rsidRDefault="00DC7B3E" w:rsidP="00116E32">
      <w:pPr>
        <w:spacing w:before="100" w:beforeAutospacing="1" w:after="100" w:afterAutospacing="1" w:line="240" w:lineRule="auto"/>
        <w:ind w:left="720" w:hanging="360"/>
        <w:outlineLvl w:val="1"/>
        <w:rPr>
          <w:rFonts w:eastAsia="Times New Roman" w:cstheme="minorHAnsi"/>
          <w:caps/>
          <w:color w:val="231F20"/>
        </w:rPr>
      </w:pPr>
      <w:r w:rsidRPr="00DC7B3E">
        <w:rPr>
          <w:rFonts w:eastAsia="Times New Roman" w:cstheme="minorHAnsi"/>
          <w:caps/>
          <w:color w:val="231F20"/>
        </w:rPr>
        <w:t>A.</w:t>
      </w:r>
      <w:r w:rsidR="00116E32">
        <w:rPr>
          <w:rFonts w:eastAsia="Times New Roman" w:cstheme="minorHAnsi"/>
          <w:caps/>
          <w:color w:val="231F20"/>
        </w:rPr>
        <w:tab/>
      </w:r>
      <w:r w:rsidR="007073CE">
        <w:rPr>
          <w:rFonts w:eastAsia="Times New Roman" w:cstheme="minorHAnsi"/>
          <w:color w:val="231F20"/>
        </w:rPr>
        <w:t xml:space="preserve">In compliance with N.C. G.S. </w:t>
      </w:r>
      <w:r w:rsidR="00DA2BA5">
        <w:rPr>
          <w:rFonts w:eastAsia="Times New Roman" w:cstheme="minorHAnsi"/>
          <w:color w:val="231F20"/>
        </w:rPr>
        <w:t>§</w:t>
      </w:r>
      <w:r w:rsidR="00A30C3A">
        <w:rPr>
          <w:rFonts w:eastAsia="Times New Roman" w:cstheme="minorHAnsi"/>
          <w:color w:val="231F20"/>
        </w:rPr>
        <w:t xml:space="preserve"> 143B-920, </w:t>
      </w:r>
      <w:r w:rsidR="007073CE" w:rsidRPr="00DC7B3E">
        <w:rPr>
          <w:rFonts w:eastAsia="Times New Roman" w:cstheme="minorHAnsi"/>
          <w:color w:val="231F20"/>
        </w:rPr>
        <w:t xml:space="preserve">any </w:t>
      </w:r>
      <w:r w:rsidRPr="00DC7B3E">
        <w:rPr>
          <w:rFonts w:eastAsia="Times New Roman" w:cstheme="minorHAnsi"/>
          <w:color w:val="231F20"/>
        </w:rPr>
        <w:t xml:space="preserve">employee who receives information or evidence of an attempted arson, or arson, damage of, theft from, or theft of, or embezzlement from, or embezzlement of, or misuse of any State-owned, College-owned, grant-funded, donated, or loaned personal property, buildings, or other real property must report this information or evidence as soon as possible, but not later than three days from its receipt, to the reporting employee's immediate supervisor and </w:t>
      </w:r>
      <w:r>
        <w:rPr>
          <w:rFonts w:eastAsia="Times New Roman" w:cstheme="minorHAnsi"/>
          <w:color w:val="231F20"/>
        </w:rPr>
        <w:t xml:space="preserve">the A-B Tech Police.  </w:t>
      </w:r>
      <w:r w:rsidRPr="00DC7B3E">
        <w:rPr>
          <w:rFonts w:eastAsia="Times New Roman" w:cstheme="minorHAnsi"/>
          <w:color w:val="231F20"/>
        </w:rPr>
        <w:t>Failure to report information or evidence within this three-day time period may result in disciplinary action, up to and including termination.</w:t>
      </w:r>
    </w:p>
    <w:p w14:paraId="5BFACB1C" w14:textId="790EC758" w:rsidR="00DC7B3E" w:rsidRPr="00DC7B3E" w:rsidRDefault="00DC7B3E" w:rsidP="00116E32">
      <w:pPr>
        <w:spacing w:before="100" w:beforeAutospacing="1" w:after="100" w:afterAutospacing="1" w:line="240" w:lineRule="auto"/>
        <w:ind w:left="720" w:hanging="360"/>
        <w:outlineLvl w:val="1"/>
        <w:rPr>
          <w:rFonts w:eastAsia="Times New Roman" w:cstheme="minorHAnsi"/>
          <w:caps/>
          <w:color w:val="231F20"/>
        </w:rPr>
      </w:pPr>
      <w:r w:rsidRPr="00DC7B3E">
        <w:rPr>
          <w:rFonts w:eastAsia="Times New Roman" w:cstheme="minorHAnsi"/>
          <w:caps/>
          <w:color w:val="231F20"/>
        </w:rPr>
        <w:t>B.</w:t>
      </w:r>
      <w:r w:rsidR="00116E32">
        <w:rPr>
          <w:rFonts w:eastAsia="Times New Roman" w:cstheme="minorHAnsi"/>
          <w:caps/>
          <w:color w:val="231F20"/>
        </w:rPr>
        <w:tab/>
      </w:r>
      <w:r w:rsidRPr="00DC7B3E">
        <w:rPr>
          <w:rFonts w:eastAsia="Times New Roman" w:cstheme="minorHAnsi"/>
          <w:color w:val="231F20"/>
        </w:rPr>
        <w:t xml:space="preserve">The reporting employee must contact </w:t>
      </w:r>
      <w:r>
        <w:rPr>
          <w:rFonts w:eastAsia="Times New Roman" w:cstheme="minorHAnsi"/>
          <w:color w:val="231F20"/>
        </w:rPr>
        <w:t>A-B Tech Police</w:t>
      </w:r>
      <w:r w:rsidRPr="00DC7B3E">
        <w:rPr>
          <w:rFonts w:eastAsia="Times New Roman" w:cstheme="minorHAnsi"/>
          <w:color w:val="231F20"/>
        </w:rPr>
        <w:t xml:space="preserve">, who will complete an Incident Report. </w:t>
      </w:r>
      <w:r>
        <w:rPr>
          <w:rFonts w:eastAsia="Times New Roman" w:cstheme="minorHAnsi"/>
          <w:color w:val="231F20"/>
        </w:rPr>
        <w:t xml:space="preserve">A-B Tech Police </w:t>
      </w:r>
      <w:r w:rsidRPr="00DC7B3E">
        <w:rPr>
          <w:rFonts w:eastAsia="Times New Roman" w:cstheme="minorHAnsi"/>
          <w:color w:val="231F20"/>
        </w:rPr>
        <w:t xml:space="preserve">will notify </w:t>
      </w:r>
      <w:r w:rsidR="009C03B8">
        <w:rPr>
          <w:rFonts w:eastAsia="Times New Roman" w:cstheme="minorHAnsi"/>
          <w:color w:val="231F20"/>
        </w:rPr>
        <w:t>Business Services</w:t>
      </w:r>
      <w:r w:rsidRPr="00DC7B3E">
        <w:rPr>
          <w:rFonts w:eastAsia="Times New Roman" w:cstheme="minorHAnsi"/>
          <w:color w:val="231F20"/>
        </w:rPr>
        <w:t xml:space="preserve"> immediately for incidents involving potential financial irregularities, misappropriation of funds, or embezzlement.</w:t>
      </w:r>
    </w:p>
    <w:p w14:paraId="4C05CCD0" w14:textId="01C1FAE8" w:rsidR="00DC7B3E" w:rsidRPr="00DC7B3E" w:rsidRDefault="00DC7B3E" w:rsidP="00116E32">
      <w:pPr>
        <w:spacing w:before="100" w:beforeAutospacing="1" w:after="100" w:afterAutospacing="1" w:line="240" w:lineRule="auto"/>
        <w:ind w:left="720" w:hanging="360"/>
        <w:outlineLvl w:val="1"/>
        <w:rPr>
          <w:rFonts w:eastAsia="Times New Roman" w:cstheme="minorHAnsi"/>
          <w:caps/>
          <w:color w:val="231F20"/>
        </w:rPr>
      </w:pPr>
      <w:r w:rsidRPr="00DC7B3E">
        <w:rPr>
          <w:rFonts w:eastAsia="Times New Roman" w:cstheme="minorHAnsi"/>
          <w:caps/>
          <w:color w:val="231F20"/>
        </w:rPr>
        <w:t>C.</w:t>
      </w:r>
      <w:r w:rsidR="00DD5D12">
        <w:rPr>
          <w:rFonts w:eastAsia="Times New Roman" w:cstheme="minorHAnsi"/>
          <w:caps/>
          <w:color w:val="231F20"/>
        </w:rPr>
        <w:tab/>
      </w:r>
      <w:r w:rsidR="00C07C62" w:rsidRPr="00DC7B3E">
        <w:rPr>
          <w:rFonts w:eastAsia="Times New Roman" w:cstheme="minorHAnsi"/>
          <w:color w:val="231F20"/>
        </w:rPr>
        <w:t>If</w:t>
      </w:r>
      <w:r w:rsidRPr="00DC7B3E">
        <w:rPr>
          <w:rFonts w:eastAsia="Times New Roman" w:cstheme="minorHAnsi"/>
          <w:color w:val="231F20"/>
        </w:rPr>
        <w:t xml:space="preserve"> any person with a reporting obligation under this policy believes that there is a conflict of interest on the part of the person to whom the allegations of suspected improper activities are to be reported, the next higher level of authority shall receive the report.</w:t>
      </w:r>
    </w:p>
    <w:p w14:paraId="31EC9C77" w14:textId="09C34677" w:rsidR="00DC7B3E" w:rsidRPr="00DC7B3E" w:rsidRDefault="00DC7B3E" w:rsidP="00116E32">
      <w:pPr>
        <w:spacing w:before="100" w:beforeAutospacing="1" w:after="100" w:afterAutospacing="1" w:line="240" w:lineRule="auto"/>
        <w:ind w:left="720" w:hanging="360"/>
        <w:outlineLvl w:val="1"/>
        <w:rPr>
          <w:rFonts w:eastAsia="Times New Roman" w:cstheme="minorHAnsi"/>
          <w:caps/>
          <w:color w:val="231F20"/>
        </w:rPr>
      </w:pPr>
      <w:r w:rsidRPr="00DC7B3E">
        <w:rPr>
          <w:rFonts w:eastAsia="Times New Roman" w:cstheme="minorHAnsi"/>
          <w:caps/>
          <w:color w:val="231F20"/>
        </w:rPr>
        <w:t>D.</w:t>
      </w:r>
      <w:r w:rsidR="00BB6E12">
        <w:rPr>
          <w:rFonts w:eastAsia="Times New Roman" w:cstheme="minorHAnsi"/>
          <w:caps/>
          <w:color w:val="231F20"/>
        </w:rPr>
        <w:t xml:space="preserve"> </w:t>
      </w:r>
      <w:r w:rsidR="00DD5D12">
        <w:rPr>
          <w:rFonts w:eastAsia="Times New Roman" w:cstheme="minorHAnsi"/>
          <w:caps/>
          <w:color w:val="231F20"/>
        </w:rPr>
        <w:tab/>
      </w:r>
      <w:r w:rsidRPr="00DC7B3E">
        <w:rPr>
          <w:rFonts w:eastAsia="Times New Roman" w:cstheme="minorHAnsi"/>
          <w:color w:val="231F20"/>
        </w:rPr>
        <w:t xml:space="preserve">Upon notification of the incident, </w:t>
      </w:r>
      <w:r>
        <w:rPr>
          <w:rFonts w:eastAsia="Times New Roman" w:cstheme="minorHAnsi"/>
          <w:color w:val="231F20"/>
        </w:rPr>
        <w:t xml:space="preserve">A-B Tech Police </w:t>
      </w:r>
      <w:r w:rsidRPr="00DC7B3E">
        <w:rPr>
          <w:rFonts w:eastAsia="Times New Roman" w:cstheme="minorHAnsi"/>
          <w:color w:val="231F20"/>
        </w:rPr>
        <w:t>will:</w:t>
      </w:r>
    </w:p>
    <w:p w14:paraId="5D3B5D51" w14:textId="01513000" w:rsidR="00DC7B3E" w:rsidRPr="00DC7B3E" w:rsidRDefault="00DC7B3E" w:rsidP="00DD5D12">
      <w:pPr>
        <w:numPr>
          <w:ilvl w:val="0"/>
          <w:numId w:val="1"/>
        </w:numPr>
        <w:tabs>
          <w:tab w:val="clear" w:pos="720"/>
        </w:tabs>
        <w:spacing w:after="120" w:line="240" w:lineRule="auto"/>
        <w:ind w:left="1080"/>
        <w:rPr>
          <w:rFonts w:eastAsia="Times New Roman" w:cstheme="minorHAnsi"/>
          <w:color w:val="231F20"/>
        </w:rPr>
      </w:pPr>
      <w:r w:rsidRPr="00DC7B3E">
        <w:rPr>
          <w:rFonts w:eastAsia="Times New Roman" w:cstheme="minorHAnsi"/>
          <w:color w:val="231F20"/>
        </w:rPr>
        <w:t xml:space="preserve">Advise the Vice President </w:t>
      </w:r>
      <w:r w:rsidR="00951620">
        <w:rPr>
          <w:rFonts w:eastAsia="Times New Roman" w:cstheme="minorHAnsi"/>
          <w:color w:val="231F20"/>
        </w:rPr>
        <w:t>of Operations/CIO</w:t>
      </w:r>
      <w:r>
        <w:rPr>
          <w:rFonts w:eastAsia="Times New Roman" w:cstheme="minorHAnsi"/>
          <w:color w:val="231F20"/>
        </w:rPr>
        <w:t xml:space="preserve"> </w:t>
      </w:r>
      <w:r w:rsidRPr="00DC7B3E">
        <w:rPr>
          <w:rFonts w:eastAsia="Times New Roman" w:cstheme="minorHAnsi"/>
          <w:color w:val="231F20"/>
        </w:rPr>
        <w:t>or designee of incidents involving potential financial irregularities, misappropriation of funds, or embezzlement within two business days of notification.</w:t>
      </w:r>
    </w:p>
    <w:p w14:paraId="4977CF55" w14:textId="6CFBCBD5" w:rsidR="00DC7B3E" w:rsidRPr="00DC7B3E" w:rsidRDefault="00DC7B3E" w:rsidP="00DD5D12">
      <w:pPr>
        <w:numPr>
          <w:ilvl w:val="0"/>
          <w:numId w:val="1"/>
        </w:numPr>
        <w:tabs>
          <w:tab w:val="clear" w:pos="720"/>
        </w:tabs>
        <w:spacing w:after="120" w:line="240" w:lineRule="auto"/>
        <w:ind w:left="1080"/>
        <w:rPr>
          <w:rFonts w:eastAsia="Times New Roman" w:cstheme="minorHAnsi"/>
          <w:color w:val="231F20"/>
        </w:rPr>
      </w:pPr>
      <w:r w:rsidRPr="00DC7B3E">
        <w:rPr>
          <w:rFonts w:eastAsia="Times New Roman" w:cstheme="minorHAnsi"/>
          <w:color w:val="231F20"/>
        </w:rPr>
        <w:t xml:space="preserve">Notify </w:t>
      </w:r>
      <w:r w:rsidR="009C03B8">
        <w:rPr>
          <w:rFonts w:eastAsia="Times New Roman" w:cstheme="minorHAnsi"/>
          <w:color w:val="231F20"/>
        </w:rPr>
        <w:t>Business Services</w:t>
      </w:r>
      <w:r w:rsidRPr="00DC7B3E">
        <w:rPr>
          <w:rFonts w:eastAsia="Times New Roman" w:cstheme="minorHAnsi"/>
          <w:color w:val="231F20"/>
        </w:rPr>
        <w:t xml:space="preserve"> of all applicable Incident Reports.</w:t>
      </w:r>
    </w:p>
    <w:p w14:paraId="1459C0BB" w14:textId="74BC3CCF" w:rsidR="00DC7B3E" w:rsidRPr="00DC7B3E" w:rsidRDefault="00DC7B3E" w:rsidP="00DD5D12">
      <w:pPr>
        <w:numPr>
          <w:ilvl w:val="0"/>
          <w:numId w:val="1"/>
        </w:numPr>
        <w:tabs>
          <w:tab w:val="clear" w:pos="720"/>
        </w:tabs>
        <w:spacing w:after="120" w:line="240" w:lineRule="auto"/>
        <w:ind w:left="1080"/>
        <w:rPr>
          <w:rFonts w:eastAsia="Times New Roman" w:cstheme="minorHAnsi"/>
          <w:color w:val="231F20"/>
        </w:rPr>
      </w:pPr>
      <w:r w:rsidRPr="00DC7B3E">
        <w:rPr>
          <w:rFonts w:eastAsia="Times New Roman" w:cstheme="minorHAnsi"/>
          <w:color w:val="231F20"/>
        </w:rPr>
        <w:t>If warranted, prepare the </w:t>
      </w:r>
      <w:hyperlink r:id="rId12" w:tgtFrame="_self" w:history="1">
        <w:r w:rsidRPr="00DC7B3E">
          <w:rPr>
            <w:rFonts w:eastAsia="Times New Roman" w:cstheme="minorHAnsi"/>
            <w:color w:val="007396"/>
            <w:u w:val="single"/>
          </w:rPr>
          <w:t>State Property Incident Report (SBI-78) form</w:t>
        </w:r>
      </w:hyperlink>
      <w:r w:rsidRPr="00DC7B3E">
        <w:rPr>
          <w:rFonts w:eastAsia="Times New Roman" w:cstheme="minorHAnsi"/>
          <w:color w:val="231F20"/>
        </w:rPr>
        <w:t xml:space="preserve">, including information provided by </w:t>
      </w:r>
      <w:r w:rsidR="009C03B8">
        <w:rPr>
          <w:rFonts w:eastAsia="Times New Roman" w:cstheme="minorHAnsi"/>
          <w:color w:val="231F20"/>
        </w:rPr>
        <w:t xml:space="preserve">Business Services </w:t>
      </w:r>
      <w:r w:rsidRPr="00DC7B3E">
        <w:rPr>
          <w:rFonts w:eastAsia="Times New Roman" w:cstheme="minorHAnsi"/>
          <w:color w:val="231F20"/>
        </w:rPr>
        <w:t>where applicable, and based on their preliminary investigation for incidents involving potential financial irregularities.</w:t>
      </w:r>
      <w:r w:rsidR="00BB6E12">
        <w:rPr>
          <w:rFonts w:eastAsia="Times New Roman" w:cstheme="minorHAnsi"/>
          <w:color w:val="231F20"/>
        </w:rPr>
        <w:t xml:space="preserve">  The form will be signed by the Vice President </w:t>
      </w:r>
      <w:r w:rsidR="00951620">
        <w:rPr>
          <w:rFonts w:eastAsia="Times New Roman" w:cstheme="minorHAnsi"/>
          <w:color w:val="231F20"/>
        </w:rPr>
        <w:t xml:space="preserve">of Operations/CIO </w:t>
      </w:r>
      <w:r w:rsidR="00BB6E12">
        <w:rPr>
          <w:rFonts w:eastAsia="Times New Roman" w:cstheme="minorHAnsi"/>
          <w:color w:val="231F20"/>
        </w:rPr>
        <w:t xml:space="preserve">or a designee. </w:t>
      </w:r>
    </w:p>
    <w:p w14:paraId="52437909" w14:textId="0FE08A11" w:rsidR="00DC7B3E" w:rsidRPr="00DC7B3E" w:rsidRDefault="00DC7B3E" w:rsidP="00DD5D12">
      <w:pPr>
        <w:numPr>
          <w:ilvl w:val="0"/>
          <w:numId w:val="1"/>
        </w:numPr>
        <w:tabs>
          <w:tab w:val="clear" w:pos="720"/>
        </w:tabs>
        <w:spacing w:after="0" w:line="240" w:lineRule="auto"/>
        <w:ind w:left="1080"/>
        <w:rPr>
          <w:rFonts w:eastAsia="Times New Roman" w:cstheme="minorHAnsi"/>
          <w:color w:val="231F20"/>
        </w:rPr>
      </w:pPr>
      <w:r w:rsidRPr="00DC7B3E">
        <w:rPr>
          <w:rFonts w:eastAsia="Times New Roman" w:cstheme="minorHAnsi"/>
          <w:color w:val="231F20"/>
        </w:rPr>
        <w:lastRenderedPageBreak/>
        <w:t xml:space="preserve">If warranted, </w:t>
      </w:r>
      <w:r w:rsidR="00BB6E12">
        <w:rPr>
          <w:rFonts w:eastAsia="Times New Roman" w:cstheme="minorHAnsi"/>
          <w:color w:val="231F20"/>
        </w:rPr>
        <w:t xml:space="preserve">submit </w:t>
      </w:r>
      <w:r w:rsidRPr="00DC7B3E">
        <w:rPr>
          <w:rFonts w:eastAsia="Times New Roman" w:cstheme="minorHAnsi"/>
          <w:color w:val="231F20"/>
        </w:rPr>
        <w:t>the completed </w:t>
      </w:r>
      <w:hyperlink r:id="rId13" w:tgtFrame="_self" w:history="1">
        <w:r w:rsidRPr="00DC7B3E">
          <w:rPr>
            <w:rFonts w:eastAsia="Times New Roman" w:cstheme="minorHAnsi"/>
            <w:color w:val="007396"/>
            <w:u w:val="single"/>
          </w:rPr>
          <w:t>State Property Incident Report (SBI-78) form</w:t>
        </w:r>
      </w:hyperlink>
      <w:r w:rsidRPr="00DC7B3E">
        <w:rPr>
          <w:rFonts w:eastAsia="Times New Roman" w:cstheme="minorHAnsi"/>
          <w:color w:val="231F20"/>
        </w:rPr>
        <w:t> to </w:t>
      </w:r>
      <w:hyperlink r:id="rId14" w:history="1">
        <w:r w:rsidRPr="00DC7B3E">
          <w:rPr>
            <w:rFonts w:eastAsia="Times New Roman" w:cstheme="minorHAnsi"/>
            <w:color w:val="007396"/>
            <w:u w:val="single"/>
          </w:rPr>
          <w:t>statepropertyincidentreports@ncdps.gov</w:t>
        </w:r>
      </w:hyperlink>
      <w:r w:rsidRPr="00DC7B3E">
        <w:rPr>
          <w:rFonts w:eastAsia="Times New Roman" w:cstheme="minorHAnsi"/>
          <w:color w:val="231F20"/>
        </w:rPr>
        <w:t xml:space="preserve"> within </w:t>
      </w:r>
      <w:r w:rsidR="008F521E">
        <w:rPr>
          <w:rFonts w:eastAsia="Times New Roman" w:cstheme="minorHAnsi"/>
          <w:color w:val="231F20"/>
        </w:rPr>
        <w:t>ten</w:t>
      </w:r>
      <w:r w:rsidRPr="00DC7B3E">
        <w:rPr>
          <w:rFonts w:eastAsia="Times New Roman" w:cstheme="minorHAnsi"/>
          <w:color w:val="231F20"/>
        </w:rPr>
        <w:t xml:space="preserve"> days of the initial receipt of the information or evidence.</w:t>
      </w:r>
    </w:p>
    <w:p w14:paraId="386853DD" w14:textId="39FAB36B" w:rsidR="00DC7B3E" w:rsidRPr="00DC7B3E" w:rsidRDefault="00DC7B3E" w:rsidP="00DD5D12">
      <w:pPr>
        <w:spacing w:before="100" w:beforeAutospacing="1" w:after="100" w:afterAutospacing="1" w:line="240" w:lineRule="auto"/>
        <w:ind w:left="720" w:hanging="360"/>
        <w:outlineLvl w:val="1"/>
        <w:rPr>
          <w:rFonts w:eastAsia="Times New Roman" w:cstheme="minorHAnsi"/>
          <w:caps/>
          <w:color w:val="231F20"/>
        </w:rPr>
      </w:pPr>
      <w:r w:rsidRPr="00DC7B3E">
        <w:rPr>
          <w:rFonts w:eastAsia="Times New Roman" w:cstheme="minorHAnsi"/>
          <w:caps/>
          <w:color w:val="231F20"/>
        </w:rPr>
        <w:t>E.</w:t>
      </w:r>
      <w:r w:rsidR="00DD5D12">
        <w:rPr>
          <w:rFonts w:eastAsia="Times New Roman" w:cstheme="minorHAnsi"/>
          <w:caps/>
          <w:color w:val="231F20"/>
        </w:rPr>
        <w:tab/>
      </w:r>
      <w:r w:rsidRPr="00DC7B3E">
        <w:rPr>
          <w:rFonts w:eastAsia="Times New Roman" w:cstheme="minorHAnsi"/>
          <w:color w:val="231F20"/>
        </w:rPr>
        <w:t xml:space="preserve">Upon notification from </w:t>
      </w:r>
      <w:r w:rsidR="00BB6E12">
        <w:rPr>
          <w:rFonts w:eastAsia="Times New Roman" w:cstheme="minorHAnsi"/>
          <w:color w:val="231F20"/>
        </w:rPr>
        <w:t>A-B Tech Police</w:t>
      </w:r>
      <w:r w:rsidRPr="00DC7B3E">
        <w:rPr>
          <w:rFonts w:eastAsia="Times New Roman" w:cstheme="minorHAnsi"/>
          <w:color w:val="231F20"/>
        </w:rPr>
        <w:t xml:space="preserve">, </w:t>
      </w:r>
      <w:r w:rsidR="00BB6E12">
        <w:rPr>
          <w:rFonts w:eastAsia="Times New Roman" w:cstheme="minorHAnsi"/>
          <w:color w:val="231F20"/>
        </w:rPr>
        <w:t xml:space="preserve">Business Services </w:t>
      </w:r>
      <w:r w:rsidRPr="00DC7B3E">
        <w:rPr>
          <w:rFonts w:eastAsia="Times New Roman" w:cstheme="minorHAnsi"/>
          <w:color w:val="231F20"/>
        </w:rPr>
        <w:t>will:</w:t>
      </w:r>
    </w:p>
    <w:p w14:paraId="156611A4" w14:textId="67725B40" w:rsidR="00DC7B3E" w:rsidRPr="00DC7B3E" w:rsidRDefault="00DC7B3E" w:rsidP="002D74D5">
      <w:pPr>
        <w:numPr>
          <w:ilvl w:val="0"/>
          <w:numId w:val="2"/>
        </w:numPr>
        <w:tabs>
          <w:tab w:val="clear" w:pos="720"/>
        </w:tabs>
        <w:spacing w:after="120" w:line="240" w:lineRule="auto"/>
        <w:ind w:left="1080"/>
        <w:rPr>
          <w:rFonts w:eastAsia="Times New Roman" w:cstheme="minorHAnsi"/>
          <w:color w:val="231F20"/>
        </w:rPr>
      </w:pPr>
      <w:r w:rsidRPr="00DC7B3E">
        <w:rPr>
          <w:rFonts w:eastAsia="Times New Roman" w:cstheme="minorHAnsi"/>
          <w:color w:val="231F20"/>
        </w:rPr>
        <w:t xml:space="preserve">Review Incident Reports and notify the </w:t>
      </w:r>
      <w:r w:rsidR="00BB6E12" w:rsidRPr="00DC7B3E">
        <w:rPr>
          <w:rFonts w:eastAsia="Times New Roman" w:cstheme="minorHAnsi"/>
          <w:color w:val="231F20"/>
        </w:rPr>
        <w:t xml:space="preserve">Vice President for </w:t>
      </w:r>
      <w:r w:rsidR="00BB6E12">
        <w:rPr>
          <w:rFonts w:eastAsia="Times New Roman" w:cstheme="minorHAnsi"/>
          <w:color w:val="231F20"/>
        </w:rPr>
        <w:t xml:space="preserve">Business and </w:t>
      </w:r>
      <w:r w:rsidR="00BB6E12" w:rsidRPr="00DC7B3E">
        <w:rPr>
          <w:rFonts w:eastAsia="Times New Roman" w:cstheme="minorHAnsi"/>
          <w:color w:val="231F20"/>
        </w:rPr>
        <w:t>Finance</w:t>
      </w:r>
      <w:r w:rsidR="00BB6E12">
        <w:rPr>
          <w:rFonts w:eastAsia="Times New Roman" w:cstheme="minorHAnsi"/>
          <w:color w:val="231F20"/>
        </w:rPr>
        <w:t>/CFO</w:t>
      </w:r>
      <w:r w:rsidRPr="00DC7B3E">
        <w:rPr>
          <w:rFonts w:eastAsia="Times New Roman" w:cstheme="minorHAnsi"/>
          <w:color w:val="231F20"/>
        </w:rPr>
        <w:t xml:space="preserve"> or designee and </w:t>
      </w:r>
      <w:r w:rsidR="00BB6E12">
        <w:rPr>
          <w:rFonts w:eastAsia="Times New Roman" w:cstheme="minorHAnsi"/>
          <w:color w:val="231F20"/>
        </w:rPr>
        <w:t xml:space="preserve">A-B Tech Police </w:t>
      </w:r>
      <w:r w:rsidRPr="00DC7B3E">
        <w:rPr>
          <w:rFonts w:eastAsia="Times New Roman" w:cstheme="minorHAnsi"/>
          <w:color w:val="231F20"/>
        </w:rPr>
        <w:t>if further investigation is necessary and if a State Property Incident Report is warranted.</w:t>
      </w:r>
    </w:p>
    <w:p w14:paraId="07BF830B" w14:textId="77777777" w:rsidR="00DC7B3E" w:rsidRPr="00DC7B3E" w:rsidRDefault="00DC7B3E" w:rsidP="002D74D5">
      <w:pPr>
        <w:numPr>
          <w:ilvl w:val="0"/>
          <w:numId w:val="2"/>
        </w:numPr>
        <w:tabs>
          <w:tab w:val="clear" w:pos="720"/>
        </w:tabs>
        <w:spacing w:after="120" w:line="240" w:lineRule="auto"/>
        <w:ind w:left="1080"/>
        <w:rPr>
          <w:rFonts w:eastAsia="Times New Roman" w:cstheme="minorHAnsi"/>
          <w:color w:val="231F20"/>
        </w:rPr>
      </w:pPr>
      <w:r w:rsidRPr="00DC7B3E">
        <w:rPr>
          <w:rFonts w:eastAsia="Times New Roman" w:cstheme="minorHAnsi"/>
          <w:color w:val="231F20"/>
        </w:rPr>
        <w:t>Provide additional information, based on preliminary investigations, of the allegations of potential financial irregularities, misappropriation of funds, or embezzlement.</w:t>
      </w:r>
    </w:p>
    <w:p w14:paraId="5912F4E4" w14:textId="77777777" w:rsidR="00DC7B3E" w:rsidRPr="00DC7B3E" w:rsidRDefault="00DC7B3E" w:rsidP="002D74D5">
      <w:pPr>
        <w:numPr>
          <w:ilvl w:val="0"/>
          <w:numId w:val="2"/>
        </w:numPr>
        <w:tabs>
          <w:tab w:val="clear" w:pos="720"/>
        </w:tabs>
        <w:spacing w:after="120" w:line="240" w:lineRule="auto"/>
        <w:ind w:left="1080"/>
        <w:rPr>
          <w:rFonts w:eastAsia="Times New Roman" w:cstheme="minorHAnsi"/>
          <w:color w:val="231F20"/>
        </w:rPr>
      </w:pPr>
      <w:r w:rsidRPr="00DC7B3E">
        <w:rPr>
          <w:rFonts w:eastAsia="Times New Roman" w:cstheme="minorHAnsi"/>
          <w:color w:val="231F20"/>
        </w:rPr>
        <w:t>Review the </w:t>
      </w:r>
      <w:hyperlink r:id="rId15" w:tgtFrame="_self" w:history="1">
        <w:r w:rsidRPr="00DC7B3E">
          <w:rPr>
            <w:rFonts w:eastAsia="Times New Roman" w:cstheme="minorHAnsi"/>
            <w:color w:val="007396"/>
            <w:u w:val="single"/>
          </w:rPr>
          <w:t>State Property Incident Report (SBI-78) form</w:t>
        </w:r>
      </w:hyperlink>
      <w:r w:rsidRPr="00DC7B3E">
        <w:rPr>
          <w:rFonts w:eastAsia="Times New Roman" w:cstheme="minorHAnsi"/>
          <w:color w:val="231F20"/>
        </w:rPr>
        <w:t> before it is filed for incidents involving potential financial irregularities.</w:t>
      </w:r>
    </w:p>
    <w:p w14:paraId="4749BC00" w14:textId="37460EBD" w:rsidR="00DC7B3E" w:rsidRPr="00DC7B3E" w:rsidRDefault="00C07C62" w:rsidP="002D74D5">
      <w:pPr>
        <w:numPr>
          <w:ilvl w:val="0"/>
          <w:numId w:val="2"/>
        </w:numPr>
        <w:tabs>
          <w:tab w:val="clear" w:pos="720"/>
        </w:tabs>
        <w:spacing w:after="0" w:line="240" w:lineRule="auto"/>
        <w:ind w:left="1080"/>
        <w:rPr>
          <w:rFonts w:eastAsia="Times New Roman" w:cstheme="minorHAnsi"/>
          <w:color w:val="231F20"/>
        </w:rPr>
      </w:pPr>
      <w:r w:rsidRPr="00DC7B3E">
        <w:rPr>
          <w:rFonts w:eastAsia="Times New Roman" w:cstheme="minorHAnsi"/>
          <w:color w:val="231F20"/>
        </w:rPr>
        <w:t>Investigate</w:t>
      </w:r>
      <w:r w:rsidR="00DC7B3E" w:rsidRPr="00DC7B3E">
        <w:rPr>
          <w:rFonts w:eastAsia="Times New Roman" w:cstheme="minorHAnsi"/>
          <w:color w:val="231F20"/>
        </w:rPr>
        <w:t xml:space="preserve"> as needed and review the results with the appropriate administrators. </w:t>
      </w:r>
      <w:r w:rsidR="00B33C12">
        <w:rPr>
          <w:rFonts w:eastAsia="Times New Roman" w:cstheme="minorHAnsi"/>
          <w:color w:val="231F20"/>
        </w:rPr>
        <w:t xml:space="preserve"> </w:t>
      </w:r>
      <w:r w:rsidR="00DC7B3E" w:rsidRPr="00DC7B3E">
        <w:rPr>
          <w:rFonts w:eastAsia="Times New Roman" w:cstheme="minorHAnsi"/>
          <w:color w:val="231F20"/>
        </w:rPr>
        <w:t>Make recommendations for improvements to the system of internal controls.</w:t>
      </w:r>
    </w:p>
    <w:p w14:paraId="01BBF1EE" w14:textId="3D7EAF41" w:rsidR="00DC7B3E" w:rsidRPr="00DC7B3E" w:rsidRDefault="00DC7B3E" w:rsidP="002D74D5">
      <w:pPr>
        <w:spacing w:before="100" w:beforeAutospacing="1" w:after="100" w:afterAutospacing="1" w:line="240" w:lineRule="auto"/>
        <w:ind w:left="720" w:hanging="360"/>
        <w:outlineLvl w:val="1"/>
        <w:rPr>
          <w:rFonts w:eastAsia="Times New Roman" w:cstheme="minorHAnsi"/>
          <w:caps/>
          <w:color w:val="231F20"/>
        </w:rPr>
      </w:pPr>
      <w:r w:rsidRPr="00DC7B3E">
        <w:rPr>
          <w:rFonts w:eastAsia="Times New Roman" w:cstheme="minorHAnsi"/>
          <w:caps/>
          <w:color w:val="231F20"/>
        </w:rPr>
        <w:t>F.</w:t>
      </w:r>
      <w:r w:rsidR="002D74D5">
        <w:rPr>
          <w:rFonts w:eastAsia="Times New Roman" w:cstheme="minorHAnsi"/>
          <w:caps/>
          <w:color w:val="231F20"/>
        </w:rPr>
        <w:tab/>
      </w:r>
      <w:r w:rsidR="006B11C1" w:rsidRPr="00DC7B3E">
        <w:rPr>
          <w:rFonts w:eastAsia="Times New Roman" w:cstheme="minorHAnsi"/>
          <w:color w:val="231F20"/>
        </w:rPr>
        <w:t>To</w:t>
      </w:r>
      <w:r w:rsidRPr="00DC7B3E">
        <w:rPr>
          <w:rFonts w:eastAsia="Times New Roman" w:cstheme="minorHAnsi"/>
          <w:color w:val="231F20"/>
        </w:rPr>
        <w:t xml:space="preserve"> maintain confidentiality and prevent compromising any related investigations, employees should not attempt to conduct investigations or discuss the facts, suspicions, or allegations with anyone, unless specifically directed.</w:t>
      </w:r>
    </w:p>
    <w:p w14:paraId="174FBC61" w14:textId="15B02CD9" w:rsidR="00DC7B3E" w:rsidRPr="00DC7B3E" w:rsidRDefault="00DC7B3E" w:rsidP="002D74D5">
      <w:pPr>
        <w:spacing w:before="100" w:beforeAutospacing="1" w:after="100" w:afterAutospacing="1" w:line="240" w:lineRule="auto"/>
        <w:ind w:left="720" w:hanging="360"/>
        <w:outlineLvl w:val="1"/>
        <w:rPr>
          <w:rFonts w:eastAsia="Times New Roman" w:cstheme="minorHAnsi"/>
          <w:caps/>
          <w:color w:val="231F20"/>
        </w:rPr>
      </w:pPr>
      <w:r w:rsidRPr="00DC7B3E">
        <w:rPr>
          <w:rFonts w:eastAsia="Times New Roman" w:cstheme="minorHAnsi"/>
          <w:caps/>
          <w:color w:val="231F20"/>
        </w:rPr>
        <w:t>G.</w:t>
      </w:r>
      <w:r w:rsidR="002D74D5">
        <w:rPr>
          <w:rFonts w:eastAsia="Times New Roman" w:cstheme="minorHAnsi"/>
          <w:caps/>
          <w:color w:val="231F20"/>
        </w:rPr>
        <w:tab/>
      </w:r>
      <w:r w:rsidRPr="00DC7B3E">
        <w:rPr>
          <w:rFonts w:eastAsia="Times New Roman" w:cstheme="minorHAnsi"/>
          <w:color w:val="231F20"/>
        </w:rPr>
        <w:t>Reports of known or potential fraud will be treated in the strictest confidence to the extent possible.</w:t>
      </w:r>
      <w:r w:rsidR="00B33C12">
        <w:rPr>
          <w:rFonts w:eastAsia="Times New Roman" w:cstheme="minorHAnsi"/>
          <w:color w:val="231F20"/>
        </w:rPr>
        <w:t xml:space="preserve"> </w:t>
      </w:r>
      <w:r w:rsidRPr="00DC7B3E">
        <w:rPr>
          <w:rFonts w:eastAsia="Times New Roman" w:cstheme="minorHAnsi"/>
          <w:color w:val="231F20"/>
        </w:rPr>
        <w:t xml:space="preserve"> Employees will not be subject to retaliation or retribution </w:t>
      </w:r>
      <w:r w:rsidR="00BB6E12" w:rsidRPr="00DC7B3E">
        <w:rPr>
          <w:rFonts w:eastAsia="Times New Roman" w:cstheme="minorHAnsi"/>
          <w:color w:val="231F20"/>
        </w:rPr>
        <w:t>because of</w:t>
      </w:r>
      <w:r w:rsidRPr="00DC7B3E">
        <w:rPr>
          <w:rFonts w:eastAsia="Times New Roman" w:cstheme="minorHAnsi"/>
          <w:color w:val="231F20"/>
        </w:rPr>
        <w:t xml:space="preserve"> reporting known or suspected fraud.</w:t>
      </w:r>
    </w:p>
    <w:p w14:paraId="718EE14B" w14:textId="0DA4ED49" w:rsidR="00DC7B3E" w:rsidRPr="00DC7B3E" w:rsidRDefault="00DC7B3E" w:rsidP="002D74D5">
      <w:pPr>
        <w:spacing w:before="100" w:beforeAutospacing="1" w:after="100" w:afterAutospacing="1" w:line="240" w:lineRule="auto"/>
        <w:ind w:left="720" w:hanging="360"/>
        <w:outlineLvl w:val="1"/>
        <w:rPr>
          <w:rFonts w:eastAsia="Times New Roman" w:cstheme="minorHAnsi"/>
          <w:caps/>
          <w:color w:val="231F20"/>
        </w:rPr>
      </w:pPr>
      <w:r w:rsidRPr="00DC7B3E">
        <w:rPr>
          <w:rFonts w:eastAsia="Times New Roman" w:cstheme="minorHAnsi"/>
          <w:caps/>
          <w:color w:val="231F20"/>
        </w:rPr>
        <w:t>H.</w:t>
      </w:r>
      <w:r w:rsidR="002D74D5">
        <w:rPr>
          <w:rFonts w:eastAsia="Times New Roman" w:cstheme="minorHAnsi"/>
          <w:caps/>
          <w:color w:val="231F20"/>
        </w:rPr>
        <w:tab/>
      </w:r>
      <w:r w:rsidRPr="00DC7B3E">
        <w:rPr>
          <w:rFonts w:eastAsia="Times New Roman" w:cstheme="minorHAnsi"/>
          <w:color w:val="231F20"/>
        </w:rPr>
        <w:t xml:space="preserve">Employees must direct all inquiries from the media or external parties to the </w:t>
      </w:r>
      <w:r w:rsidR="00BB6E12">
        <w:rPr>
          <w:rFonts w:eastAsia="Times New Roman" w:cstheme="minorHAnsi"/>
          <w:color w:val="231F20"/>
        </w:rPr>
        <w:t>Executive Director, Community Relations and Marketing.</w:t>
      </w:r>
    </w:p>
    <w:p w14:paraId="0CAB291E" w14:textId="22B53F8D" w:rsidR="00DC7B3E" w:rsidRPr="00DC7B3E" w:rsidRDefault="00DC7B3E" w:rsidP="002D74D5">
      <w:pPr>
        <w:spacing w:before="100" w:beforeAutospacing="1" w:after="100" w:afterAutospacing="1" w:line="240" w:lineRule="auto"/>
        <w:ind w:left="720" w:hanging="360"/>
        <w:outlineLvl w:val="1"/>
        <w:rPr>
          <w:rFonts w:eastAsia="Times New Roman" w:cstheme="minorHAnsi"/>
          <w:caps/>
          <w:color w:val="231F20"/>
        </w:rPr>
      </w:pPr>
      <w:r w:rsidRPr="00DC7B3E">
        <w:rPr>
          <w:rFonts w:eastAsia="Times New Roman" w:cstheme="minorHAnsi"/>
          <w:caps/>
          <w:color w:val="231F20"/>
        </w:rPr>
        <w:t>I.</w:t>
      </w:r>
      <w:r w:rsidR="002D74D5">
        <w:rPr>
          <w:rFonts w:eastAsia="Times New Roman" w:cstheme="minorHAnsi"/>
          <w:caps/>
          <w:color w:val="231F20"/>
        </w:rPr>
        <w:tab/>
      </w:r>
      <w:r w:rsidRPr="00DC7B3E">
        <w:rPr>
          <w:rFonts w:eastAsia="Times New Roman" w:cstheme="minorHAnsi"/>
          <w:color w:val="231F20"/>
        </w:rPr>
        <w:t xml:space="preserve">Cases involving monetary losses to </w:t>
      </w:r>
      <w:r w:rsidR="00BB6E12">
        <w:rPr>
          <w:rFonts w:eastAsia="Times New Roman" w:cstheme="minorHAnsi"/>
          <w:color w:val="231F20"/>
        </w:rPr>
        <w:t xml:space="preserve">A-B Tech </w:t>
      </w:r>
      <w:r w:rsidRPr="00DC7B3E">
        <w:rPr>
          <w:rFonts w:eastAsia="Times New Roman" w:cstheme="minorHAnsi"/>
          <w:color w:val="231F20"/>
        </w:rPr>
        <w:t>will be pursued for recovery of losses.</w:t>
      </w:r>
      <w:r w:rsidR="00B33C12">
        <w:rPr>
          <w:rFonts w:eastAsia="Times New Roman" w:cstheme="minorHAnsi"/>
          <w:color w:val="231F20"/>
        </w:rPr>
        <w:t xml:space="preserve"> </w:t>
      </w:r>
      <w:r w:rsidRPr="00DC7B3E">
        <w:rPr>
          <w:rFonts w:eastAsia="Times New Roman" w:cstheme="minorHAnsi"/>
          <w:color w:val="231F20"/>
        </w:rPr>
        <w:t xml:space="preserve"> The College reserves the right to seek redress via civil proceedings against individuals whose fraudulent acts have resulted in financial loss to the College, whether or not the individual concerned is criminally convicted of that fraudulent act.</w:t>
      </w:r>
    </w:p>
    <w:p w14:paraId="06AD0043" w14:textId="77777777" w:rsidR="00CA29C6" w:rsidRPr="0086738E" w:rsidRDefault="00505D10" w:rsidP="00505D10">
      <w:pPr>
        <w:spacing w:before="120" w:after="120" w:line="240" w:lineRule="auto"/>
        <w:rPr>
          <w:rFonts w:ascii="Cambria" w:hAnsi="Cambria" w:cstheme="minorHAnsi"/>
          <w:b/>
          <w:bCs/>
          <w:color w:val="0070C0"/>
          <w:sz w:val="24"/>
          <w:szCs w:val="24"/>
        </w:rPr>
      </w:pPr>
      <w:r w:rsidRPr="0086738E">
        <w:rPr>
          <w:rStyle w:val="Heading2Char"/>
          <w:rFonts w:ascii="Cambria" w:eastAsiaTheme="minorHAnsi" w:hAnsi="Cambria" w:cstheme="minorHAnsi"/>
          <w:b w:val="0"/>
          <w:bCs w:val="0"/>
          <w:color w:val="0070C0"/>
          <w:sz w:val="24"/>
          <w:szCs w:val="24"/>
        </w:rPr>
        <w:t>Definitions:</w:t>
      </w:r>
      <w:r w:rsidRPr="0086738E">
        <w:rPr>
          <w:rFonts w:ascii="Cambria" w:hAnsi="Cambria" w:cstheme="minorHAnsi"/>
          <w:b/>
          <w:bCs/>
          <w:color w:val="0070C0"/>
          <w:sz w:val="24"/>
          <w:szCs w:val="24"/>
        </w:rPr>
        <w:t xml:space="preserve">  </w:t>
      </w:r>
    </w:p>
    <w:p w14:paraId="4AC77BC9" w14:textId="744C284F" w:rsidR="00CA29C6" w:rsidRPr="0086738E" w:rsidRDefault="00CA29C6" w:rsidP="0086738E">
      <w:pPr>
        <w:pStyle w:val="ListParagraph"/>
        <w:numPr>
          <w:ilvl w:val="0"/>
          <w:numId w:val="3"/>
        </w:numPr>
        <w:spacing w:before="120" w:after="120" w:line="240" w:lineRule="auto"/>
        <w:contextualSpacing w:val="0"/>
        <w:rPr>
          <w:rFonts w:cstheme="minorHAnsi"/>
        </w:rPr>
      </w:pPr>
      <w:r w:rsidRPr="000C7E21">
        <w:rPr>
          <w:rStyle w:val="Heading4Char"/>
        </w:rPr>
        <w:t>Misuse</w:t>
      </w:r>
      <w:r w:rsidR="00B837DE" w:rsidRPr="000C7E21">
        <w:rPr>
          <w:rStyle w:val="Heading4Char"/>
        </w:rPr>
        <w:t>:</w:t>
      </w:r>
      <w:r w:rsidR="00B837DE" w:rsidRPr="0086738E">
        <w:rPr>
          <w:rFonts w:cstheme="minorHAnsi"/>
          <w:color w:val="0070C0"/>
        </w:rPr>
        <w:t xml:space="preserve">  </w:t>
      </w:r>
      <w:r w:rsidR="002C7454" w:rsidRPr="0086738E">
        <w:rPr>
          <w:rFonts w:cstheme="minorHAnsi"/>
          <w:color w:val="303336"/>
          <w:spacing w:val="3"/>
          <w:shd w:val="clear" w:color="auto" w:fill="FFFFFF"/>
        </w:rPr>
        <w:t>T</w:t>
      </w:r>
      <w:r w:rsidR="00F11758" w:rsidRPr="0086738E">
        <w:rPr>
          <w:rFonts w:cstheme="minorHAnsi"/>
          <w:color w:val="303336"/>
          <w:spacing w:val="3"/>
          <w:shd w:val="clear" w:color="auto" w:fill="FFFFFF"/>
        </w:rPr>
        <w:t>o use incorrectly</w:t>
      </w:r>
    </w:p>
    <w:p w14:paraId="203AF188" w14:textId="502ACDF5" w:rsidR="00CA29C6" w:rsidRPr="0086738E" w:rsidRDefault="00CA29C6" w:rsidP="0086738E">
      <w:pPr>
        <w:pStyle w:val="ListParagraph"/>
        <w:numPr>
          <w:ilvl w:val="0"/>
          <w:numId w:val="3"/>
        </w:numPr>
        <w:spacing w:before="120" w:after="120" w:line="240" w:lineRule="auto"/>
        <w:contextualSpacing w:val="0"/>
        <w:rPr>
          <w:rFonts w:cstheme="minorHAnsi"/>
        </w:rPr>
      </w:pPr>
      <w:r w:rsidRPr="000C7E21">
        <w:rPr>
          <w:rStyle w:val="Heading4Char"/>
        </w:rPr>
        <w:t>Fraud</w:t>
      </w:r>
      <w:r w:rsidR="00303BB5" w:rsidRPr="000C7E21">
        <w:rPr>
          <w:rStyle w:val="Heading4Char"/>
        </w:rPr>
        <w:t>:</w:t>
      </w:r>
      <w:r w:rsidR="00303BB5" w:rsidRPr="0086738E">
        <w:rPr>
          <w:rFonts w:cstheme="minorHAnsi"/>
          <w:color w:val="0070C0"/>
        </w:rPr>
        <w:t xml:space="preserve">  </w:t>
      </w:r>
      <w:r w:rsidR="002C7454" w:rsidRPr="0086738E">
        <w:rPr>
          <w:rFonts w:cstheme="minorHAnsi"/>
          <w:color w:val="303336"/>
          <w:spacing w:val="3"/>
          <w:shd w:val="clear" w:color="auto" w:fill="FFFFFF"/>
        </w:rPr>
        <w:t>A</w:t>
      </w:r>
      <w:r w:rsidR="00303BB5" w:rsidRPr="0086738E">
        <w:rPr>
          <w:rFonts w:cstheme="minorHAnsi"/>
          <w:color w:val="303336"/>
          <w:spacing w:val="3"/>
          <w:shd w:val="clear" w:color="auto" w:fill="FFFFFF"/>
        </w:rPr>
        <w:t>n act of deceiving or misrepresenting</w:t>
      </w:r>
    </w:p>
    <w:p w14:paraId="287DC011" w14:textId="5235A014" w:rsidR="00C449DA" w:rsidRPr="0086738E" w:rsidRDefault="00CA29C6" w:rsidP="0086738E">
      <w:pPr>
        <w:pStyle w:val="ListParagraph"/>
        <w:numPr>
          <w:ilvl w:val="0"/>
          <w:numId w:val="3"/>
        </w:numPr>
        <w:spacing w:before="120" w:after="120" w:line="240" w:lineRule="auto"/>
        <w:contextualSpacing w:val="0"/>
        <w:rPr>
          <w:rFonts w:cstheme="minorHAnsi"/>
        </w:rPr>
      </w:pPr>
      <w:r w:rsidRPr="000C7E21">
        <w:rPr>
          <w:rStyle w:val="Heading4Char"/>
        </w:rPr>
        <w:t>Embezzlement</w:t>
      </w:r>
      <w:r w:rsidR="00C449DA" w:rsidRPr="000C7E21">
        <w:rPr>
          <w:rStyle w:val="Heading4Char"/>
        </w:rPr>
        <w:t>:</w:t>
      </w:r>
      <w:r w:rsidR="00C449DA" w:rsidRPr="0086738E">
        <w:rPr>
          <w:rFonts w:cstheme="minorHAnsi"/>
          <w:color w:val="0070C0"/>
        </w:rPr>
        <w:t xml:space="preserve">  </w:t>
      </w:r>
      <w:r w:rsidR="002C7454" w:rsidRPr="0086738E">
        <w:rPr>
          <w:rFonts w:cstheme="minorHAnsi"/>
          <w:color w:val="303336"/>
          <w:spacing w:val="3"/>
          <w:shd w:val="clear" w:color="auto" w:fill="FFFFFF"/>
        </w:rPr>
        <w:t>T</w:t>
      </w:r>
      <w:r w:rsidR="007D0F63" w:rsidRPr="0086738E">
        <w:rPr>
          <w:rFonts w:cstheme="minorHAnsi"/>
          <w:color w:val="303336"/>
          <w:spacing w:val="3"/>
          <w:shd w:val="clear" w:color="auto" w:fill="FFFFFF"/>
        </w:rPr>
        <w:t>o appropriate (something, such as property entrusted to one's care) fraudulently to one's own use</w:t>
      </w:r>
    </w:p>
    <w:p w14:paraId="69429779" w14:textId="656F603C" w:rsidR="0086738E" w:rsidRPr="0086738E" w:rsidRDefault="0086738E" w:rsidP="0086738E">
      <w:pPr>
        <w:spacing w:before="100" w:beforeAutospacing="1" w:after="100" w:afterAutospacing="1" w:line="240" w:lineRule="auto"/>
        <w:outlineLvl w:val="1"/>
        <w:rPr>
          <w:rFonts w:ascii="Times New Roman" w:eastAsia="Times New Roman" w:hAnsi="Times New Roman" w:cs="Times New Roman"/>
          <w:b/>
          <w:bCs/>
          <w:caps/>
          <w:color w:val="4472C4" w:themeColor="accent1"/>
          <w:sz w:val="28"/>
          <w:szCs w:val="28"/>
        </w:rPr>
      </w:pPr>
      <w:r w:rsidRPr="0086738E">
        <w:rPr>
          <w:rFonts w:ascii="Cambria" w:eastAsia="Times New Roman" w:hAnsi="Cambria" w:cs="Times New Roman"/>
          <w:color w:val="0070C0"/>
          <w:sz w:val="24"/>
          <w:szCs w:val="24"/>
        </w:rPr>
        <w:t>Related Policy:</w:t>
      </w:r>
      <w:r w:rsidRPr="0086738E">
        <w:rPr>
          <w:rFonts w:ascii="Times New Roman" w:eastAsia="Times New Roman" w:hAnsi="Times New Roman" w:cs="Times New Roman"/>
          <w:b/>
          <w:bCs/>
          <w:caps/>
          <w:color w:val="0070C0"/>
          <w:sz w:val="28"/>
          <w:szCs w:val="28"/>
        </w:rPr>
        <w:t xml:space="preserve">  </w:t>
      </w:r>
      <w:hyperlink r:id="rId16" w:history="1">
        <w:r w:rsidRPr="0086738E">
          <w:rPr>
            <w:rFonts w:eastAsia="Times New Roman" w:cstheme="minorHAnsi"/>
            <w:color w:val="007396"/>
            <w:u w:val="single"/>
          </w:rPr>
          <w:t>Policy 319: Appropriate Use of College Resources</w:t>
        </w:r>
      </w:hyperlink>
    </w:p>
    <w:p w14:paraId="6E4AEE3D" w14:textId="77777777" w:rsidR="0086738E" w:rsidRPr="0086738E" w:rsidRDefault="0086738E" w:rsidP="0086738E">
      <w:pPr>
        <w:pStyle w:val="ListParagraph"/>
        <w:spacing w:before="120" w:after="120" w:line="240" w:lineRule="auto"/>
        <w:contextualSpacing w:val="0"/>
        <w:rPr>
          <w:rFonts w:cstheme="minorHAnsi"/>
        </w:rPr>
      </w:pPr>
    </w:p>
    <w:p w14:paraId="4F420BDA" w14:textId="228BB7B0" w:rsidR="00505D10" w:rsidRPr="00223741" w:rsidRDefault="00505D10" w:rsidP="00505D10">
      <w:pPr>
        <w:spacing w:before="120" w:after="120" w:line="240" w:lineRule="auto"/>
        <w:rPr>
          <w:rFonts w:cstheme="minorHAnsi"/>
        </w:rPr>
      </w:pPr>
      <w:r w:rsidRPr="0086738E">
        <w:rPr>
          <w:rStyle w:val="Heading2Char"/>
          <w:rFonts w:ascii="Cambria" w:eastAsiaTheme="minorHAnsi" w:hAnsi="Cambria" w:cstheme="minorHAnsi"/>
          <w:b w:val="0"/>
          <w:bCs w:val="0"/>
          <w:color w:val="0070C0"/>
          <w:sz w:val="24"/>
          <w:szCs w:val="24"/>
        </w:rPr>
        <w:t>Owner</w:t>
      </w:r>
      <w:r w:rsidRPr="0086738E">
        <w:rPr>
          <w:rStyle w:val="Heading2Char"/>
          <w:rFonts w:ascii="Cambria" w:eastAsiaTheme="minorHAnsi" w:hAnsi="Cambria" w:cstheme="minorHAnsi"/>
          <w:color w:val="0070C0"/>
          <w:sz w:val="24"/>
          <w:szCs w:val="24"/>
        </w:rPr>
        <w:t>:</w:t>
      </w:r>
      <w:r w:rsidRPr="0086738E">
        <w:rPr>
          <w:rFonts w:cstheme="minorHAnsi"/>
          <w:color w:val="0070C0"/>
        </w:rPr>
        <w:t xml:space="preserve">  </w:t>
      </w:r>
      <w:r>
        <w:rPr>
          <w:rFonts w:cstheme="minorHAnsi"/>
        </w:rPr>
        <w:t>V</w:t>
      </w:r>
      <w:r w:rsidR="00265F0C">
        <w:rPr>
          <w:rFonts w:cstheme="minorHAnsi"/>
        </w:rPr>
        <w:t xml:space="preserve">ice President </w:t>
      </w:r>
      <w:r w:rsidR="00E85C1F">
        <w:rPr>
          <w:rFonts w:cstheme="minorHAnsi"/>
        </w:rPr>
        <w:t>of Operations/CIO</w:t>
      </w:r>
    </w:p>
    <w:p w14:paraId="6FFE4B8A" w14:textId="2E6A45E6" w:rsidR="00505D10" w:rsidRDefault="00265F0C" w:rsidP="00505D10">
      <w:pPr>
        <w:spacing w:before="120" w:after="120" w:line="240" w:lineRule="auto"/>
        <w:rPr>
          <w:rFonts w:cstheme="minorHAnsi"/>
        </w:rPr>
      </w:pPr>
      <w:r w:rsidRPr="0086738E">
        <w:rPr>
          <w:rStyle w:val="Heading2Char"/>
          <w:rFonts w:ascii="Cambria" w:eastAsiaTheme="minorHAnsi" w:hAnsi="Cambria"/>
          <w:b w:val="0"/>
          <w:bCs w:val="0"/>
          <w:color w:val="0070C0"/>
          <w:sz w:val="24"/>
          <w:szCs w:val="24"/>
        </w:rPr>
        <w:t>Approved</w:t>
      </w:r>
      <w:r w:rsidR="00505D10" w:rsidRPr="0086738E">
        <w:rPr>
          <w:rStyle w:val="Heading2Char"/>
          <w:rFonts w:ascii="Cambria" w:eastAsiaTheme="minorHAnsi" w:hAnsi="Cambria"/>
          <w:color w:val="4472C4" w:themeColor="accent1"/>
          <w:sz w:val="24"/>
          <w:szCs w:val="24"/>
        </w:rPr>
        <w:t>:</w:t>
      </w:r>
      <w:r w:rsidR="00505D10" w:rsidRPr="003B7A9B">
        <w:rPr>
          <w:rFonts w:cstheme="minorHAnsi"/>
          <w:sz w:val="28"/>
          <w:szCs w:val="28"/>
        </w:rPr>
        <w:t xml:space="preserve"> </w:t>
      </w:r>
      <w:r w:rsidR="0086738E">
        <w:rPr>
          <w:rFonts w:cstheme="minorHAnsi"/>
          <w:sz w:val="28"/>
          <w:szCs w:val="28"/>
        </w:rPr>
        <w:t xml:space="preserve"> </w:t>
      </w:r>
      <w:r w:rsidR="00505D10">
        <w:rPr>
          <w:rFonts w:cstheme="minorHAnsi"/>
        </w:rPr>
        <w:t xml:space="preserve"> October </w:t>
      </w:r>
      <w:r w:rsidR="00CA29C6">
        <w:rPr>
          <w:rFonts w:cstheme="minorHAnsi"/>
        </w:rPr>
        <w:t>13</w:t>
      </w:r>
      <w:r w:rsidR="00505D10">
        <w:rPr>
          <w:rFonts w:cstheme="minorHAnsi"/>
        </w:rPr>
        <w:t>, 20</w:t>
      </w:r>
      <w:r w:rsidR="00CA29C6">
        <w:rPr>
          <w:rFonts w:cstheme="minorHAnsi"/>
        </w:rPr>
        <w:t>22</w:t>
      </w:r>
    </w:p>
    <w:sectPr w:rsidR="00505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C952C" w14:textId="77777777" w:rsidR="008D41A1" w:rsidRDefault="008D41A1" w:rsidP="009C03B8">
      <w:pPr>
        <w:spacing w:after="0" w:line="240" w:lineRule="auto"/>
      </w:pPr>
      <w:r>
        <w:separator/>
      </w:r>
    </w:p>
  </w:endnote>
  <w:endnote w:type="continuationSeparator" w:id="0">
    <w:p w14:paraId="3A068B0C" w14:textId="77777777" w:rsidR="008D41A1" w:rsidRDefault="008D41A1" w:rsidP="009C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0F1B5" w14:textId="77777777" w:rsidR="008D41A1" w:rsidRDefault="008D41A1" w:rsidP="009C03B8">
      <w:pPr>
        <w:spacing w:after="0" w:line="240" w:lineRule="auto"/>
      </w:pPr>
      <w:r>
        <w:separator/>
      </w:r>
    </w:p>
  </w:footnote>
  <w:footnote w:type="continuationSeparator" w:id="0">
    <w:p w14:paraId="5EC25EA1" w14:textId="77777777" w:rsidR="008D41A1" w:rsidRDefault="008D41A1" w:rsidP="009C0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7F9D"/>
    <w:multiLevelType w:val="multilevel"/>
    <w:tmpl w:val="EABE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FE25AA"/>
    <w:multiLevelType w:val="hybridMultilevel"/>
    <w:tmpl w:val="4228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56F50"/>
    <w:multiLevelType w:val="multilevel"/>
    <w:tmpl w:val="38E4D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3241954">
    <w:abstractNumId w:val="2"/>
  </w:num>
  <w:num w:numId="2" w16cid:durableId="936131480">
    <w:abstractNumId w:val="0"/>
  </w:num>
  <w:num w:numId="3" w16cid:durableId="147386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3E"/>
    <w:rsid w:val="000C7E21"/>
    <w:rsid w:val="00116E32"/>
    <w:rsid w:val="001B3167"/>
    <w:rsid w:val="0022495A"/>
    <w:rsid w:val="00265F0C"/>
    <w:rsid w:val="002C7454"/>
    <w:rsid w:val="002D74D5"/>
    <w:rsid w:val="00303BB5"/>
    <w:rsid w:val="003824B1"/>
    <w:rsid w:val="00395981"/>
    <w:rsid w:val="004C3A63"/>
    <w:rsid w:val="004E0712"/>
    <w:rsid w:val="00505D10"/>
    <w:rsid w:val="00637BD4"/>
    <w:rsid w:val="006404F9"/>
    <w:rsid w:val="006B11C1"/>
    <w:rsid w:val="006C2B66"/>
    <w:rsid w:val="007073CE"/>
    <w:rsid w:val="007422E0"/>
    <w:rsid w:val="007D0F63"/>
    <w:rsid w:val="008167EC"/>
    <w:rsid w:val="0086738E"/>
    <w:rsid w:val="008D41A1"/>
    <w:rsid w:val="008F521E"/>
    <w:rsid w:val="00951620"/>
    <w:rsid w:val="009A46DA"/>
    <w:rsid w:val="009C03B8"/>
    <w:rsid w:val="00A1275F"/>
    <w:rsid w:val="00A30C3A"/>
    <w:rsid w:val="00A332D8"/>
    <w:rsid w:val="00A555EB"/>
    <w:rsid w:val="00B33C12"/>
    <w:rsid w:val="00B837DE"/>
    <w:rsid w:val="00BA679A"/>
    <w:rsid w:val="00BB6E12"/>
    <w:rsid w:val="00C07C62"/>
    <w:rsid w:val="00C239FB"/>
    <w:rsid w:val="00C34579"/>
    <w:rsid w:val="00C449DA"/>
    <w:rsid w:val="00CA29C6"/>
    <w:rsid w:val="00DA2BA5"/>
    <w:rsid w:val="00DB02E9"/>
    <w:rsid w:val="00DC7B3E"/>
    <w:rsid w:val="00DD5D12"/>
    <w:rsid w:val="00E85C1F"/>
    <w:rsid w:val="00F11758"/>
    <w:rsid w:val="00F12BC7"/>
    <w:rsid w:val="00F5352B"/>
    <w:rsid w:val="00FD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B617"/>
  <w15:chartTrackingRefBased/>
  <w15:docId w15:val="{2BD06C3A-3087-4F66-9E99-303A8728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7B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7B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673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673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B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7B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C7B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7B3E"/>
    <w:rPr>
      <w:color w:val="0000FF"/>
      <w:u w:val="single"/>
    </w:rPr>
  </w:style>
  <w:style w:type="paragraph" w:styleId="Header">
    <w:name w:val="header"/>
    <w:basedOn w:val="Normal"/>
    <w:link w:val="HeaderChar"/>
    <w:uiPriority w:val="99"/>
    <w:unhideWhenUsed/>
    <w:rsid w:val="009C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B8"/>
  </w:style>
  <w:style w:type="paragraph" w:styleId="Footer">
    <w:name w:val="footer"/>
    <w:basedOn w:val="Normal"/>
    <w:link w:val="FooterChar"/>
    <w:uiPriority w:val="99"/>
    <w:unhideWhenUsed/>
    <w:rsid w:val="009C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B8"/>
  </w:style>
  <w:style w:type="character" w:styleId="Strong">
    <w:name w:val="Strong"/>
    <w:basedOn w:val="DefaultParagraphFont"/>
    <w:uiPriority w:val="22"/>
    <w:qFormat/>
    <w:rsid w:val="00F11758"/>
    <w:rPr>
      <w:b/>
      <w:bCs/>
    </w:rPr>
  </w:style>
  <w:style w:type="character" w:customStyle="1" w:styleId="Heading3Char">
    <w:name w:val="Heading 3 Char"/>
    <w:basedOn w:val="DefaultParagraphFont"/>
    <w:link w:val="Heading3"/>
    <w:uiPriority w:val="9"/>
    <w:rsid w:val="0086738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6738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67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579622">
      <w:bodyDiv w:val="1"/>
      <w:marLeft w:val="0"/>
      <w:marRight w:val="0"/>
      <w:marTop w:val="0"/>
      <w:marBottom w:val="0"/>
      <w:divBdr>
        <w:top w:val="none" w:sz="0" w:space="0" w:color="auto"/>
        <w:left w:val="none" w:sz="0" w:space="0" w:color="auto"/>
        <w:bottom w:val="none" w:sz="0" w:space="0" w:color="auto"/>
        <w:right w:val="none" w:sz="0" w:space="0" w:color="auto"/>
      </w:divBdr>
      <w:divsChild>
        <w:div w:id="4949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ncsu.edu/wordpress/wp-content/uploads/2016/10/SBI-Form-Updated-2018-Fillable-PDF-.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ncsu.edu/wordpress/wp-content/uploads/2016/10/SBI-Form-Updated-2018-Fillable-PDF-.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licies.abtech.edu/Policies/Appropriate%20Use%20of%20College%20Resourc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olicies.ncsu.edu/wordpress/wp-content/uploads/2016/10/SBI-Form-Updated-2018-Fillable-PDF-.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tepropertyincidentreports@ncd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1028</Policy_x0020_Topic>
    <Related_x0020_Forms xmlns="35a135f3-0890-48fe-9b8a-01319c4a237d"/>
  </documentManagement>
</p:properties>
</file>

<file path=customXml/itemProps1.xml><?xml version="1.0" encoding="utf-8"?>
<ds:datastoreItem xmlns:ds="http://schemas.openxmlformats.org/officeDocument/2006/customXml" ds:itemID="{AD7FD789-8260-431A-A076-98894872B361}">
  <ds:schemaRefs>
    <ds:schemaRef ds:uri="http://schemas.microsoft.com/sharepoint/v3/contenttype/forms"/>
  </ds:schemaRefs>
</ds:datastoreItem>
</file>

<file path=customXml/itemProps2.xml><?xml version="1.0" encoding="utf-8"?>
<ds:datastoreItem xmlns:ds="http://schemas.openxmlformats.org/officeDocument/2006/customXml" ds:itemID="{BC0D928E-ECE4-4D76-B5D8-DE6AAB196526}">
  <ds:schemaRefs>
    <ds:schemaRef ds:uri="http://schemas.microsoft.com/sharepoint/events"/>
  </ds:schemaRefs>
</ds:datastoreItem>
</file>

<file path=customXml/itemProps3.xml><?xml version="1.0" encoding="utf-8"?>
<ds:datastoreItem xmlns:ds="http://schemas.openxmlformats.org/officeDocument/2006/customXml" ds:itemID="{46BDC8C1-C781-4413-8C4E-0E19E0CDC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0C0ED-52BF-43C4-90E6-55A39635C3A1}">
  <ds:schemaRefs>
    <ds:schemaRef ds:uri="http://schemas.microsoft.com/office/2006/documentManagement/types"/>
    <ds:schemaRef ds:uri="http://schemas.microsoft.com/office/infopath/2007/PartnerControls"/>
    <ds:schemaRef ds:uri="http://purl.org/dc/terms/"/>
    <ds:schemaRef ds:uri="http://www.w3.org/XML/1998/namespace"/>
    <ds:schemaRef ds:uri="bebb4801-54de-4360-b8be-17d68ad98198"/>
    <ds:schemaRef ds:uri="http://purl.org/dc/elements/1.1/"/>
    <ds:schemaRef ds:uri="http://purl.org/dc/dcmitype/"/>
    <ds:schemaRef ds:uri="http://schemas.microsoft.com/office/2006/metadata/properties"/>
    <ds:schemaRef ds:uri="http://schemas.openxmlformats.org/package/2006/metadata/core-properties"/>
    <ds:schemaRef ds:uri="35a135f3-0890-48fe-9b8a-01319c4a237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Potential Fraud, Damage, or Theft of College Property Procedure</dc:title>
  <dc:subject/>
  <dc:creator>Dirk Wilmoth</dc:creator>
  <cp:keywords/>
  <dc:description/>
  <cp:lastModifiedBy>Carolyn H. Rice</cp:lastModifiedBy>
  <cp:revision>16</cp:revision>
  <dcterms:created xsi:type="dcterms:W3CDTF">2022-10-13T18:16:00Z</dcterms:created>
  <dcterms:modified xsi:type="dcterms:W3CDTF">2025-01-28T20:31:00Z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ies>
</file>